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 w:eastAsia="Arial" w:cs="Arial"/>
          <w:b/>
          <w:color w:val="478060"/>
          <w:sz w:val="17"/>
        </w:rPr>
        <w:t>АВТОГЕЙТ · ПАМЯТКА ДЛЯ ОХРАНЫ</w:t>
      </w:r>
    </w:p>
    <w:p>
      <w:pPr>
        <w:spacing w:after="40" w:line="240" w:lineRule="auto"/>
        <w:jc w:val="center"/>
      </w:pPr>
      <w:r>
        <w:rPr>
          <w:rFonts w:ascii="Arial" w:hAnsi="Arial" w:eastAsia="Arial" w:cs="Arial"/>
          <w:b/>
          <w:color w:val="173326"/>
          <w:sz w:val="31"/>
        </w:rPr>
        <w:t>Действия охраны на КПП при работе с АвтоГейт</w:t>
      </w:r>
    </w:p>
    <w:p>
      <w:pPr>
        <w:spacing w:after="140"/>
        <w:jc w:val="center"/>
      </w:pPr>
      <w:r>
        <w:rPr>
          <w:rFonts w:ascii="Arial" w:hAnsi="Arial" w:eastAsia="Arial" w:cs="Arial"/>
          <w:b w:val="0"/>
          <w:color w:val="687785"/>
          <w:sz w:val="17"/>
        </w:rPr>
        <w:t>Краткий шаблон. Адаптируйте под внутренний регламент вашего объекта.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5102"/>
      </w:tblGrid>
      <w:tr>
        <w:tc>
          <w:tcPr>
            <w:tcW w:type="dxa" w:w="5440"/>
            <w:tcBorders>
              <w:top w:val="single" w:sz="5" w:color="DDE7E0"/>
              <w:left w:val="single" w:sz="5" w:color="DDE7E0"/>
              <w:bottom w:val="single" w:sz="5" w:color="DDE7E0"/>
              <w:right w:val="single" w:sz="5" w:color="DDE7E0"/>
              <w:insideH w:val="single" w:sz="5" w:color="DDE7E0"/>
              <w:insideV w:val="single" w:sz="5" w:color="DDE7E0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7F5"/>
          </w:tcPr>
          <w:p>
            <w:pPr>
              <w:spacing w:before="0" w:after="40" w:line="240" w:lineRule="auto"/>
            </w:pPr>
            <w:r>
              <w:rPr>
                <w:rFonts w:ascii="Arial" w:hAnsi="Arial" w:eastAsia="Arial" w:cs="Arial"/>
                <w:b/>
                <w:color w:val="405047"/>
                <w:sz w:val="17"/>
              </w:rPr>
              <w:t>Объект: ___________________________________</w:t>
            </w:r>
          </w:p>
        </w:tc>
        <w:tc>
          <w:tcPr>
            <w:tcW w:type="dxa" w:w="5440"/>
            <w:tcBorders>
              <w:top w:val="single" w:sz="5" w:color="DDE7E0"/>
              <w:left w:val="single" w:sz="5" w:color="DDE7E0"/>
              <w:bottom w:val="single" w:sz="5" w:color="DDE7E0"/>
              <w:right w:val="single" w:sz="5" w:color="DDE7E0"/>
              <w:insideH w:val="single" w:sz="5" w:color="DDE7E0"/>
              <w:insideV w:val="single" w:sz="5" w:color="DDE7E0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7F5"/>
          </w:tcPr>
          <w:p>
            <w:pPr>
              <w:spacing w:before="0" w:after="40" w:line="240" w:lineRule="auto"/>
            </w:pPr>
            <w:r>
              <w:rPr>
                <w:rFonts w:ascii="Arial" w:hAnsi="Arial" w:eastAsia="Arial" w:cs="Arial"/>
                <w:b/>
                <w:color w:val="405047"/>
                <w:sz w:val="17"/>
              </w:rPr>
              <w:t>Адрес AutoGate: 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5440"/>
            <w:tcBorders>
              <w:top w:val="single" w:sz="5" w:color="DDE7E0"/>
              <w:left w:val="single" w:sz="5" w:color="DDE7E0"/>
              <w:bottom w:val="single" w:sz="5" w:color="DDE7E0"/>
              <w:right w:val="single" w:sz="5" w:color="DDE7E0"/>
              <w:insideH w:val="single" w:sz="5" w:color="DDE7E0"/>
              <w:insideV w:val="single" w:sz="5" w:color="DDE7E0"/>
            </w:tcBorders>
            <w:tcMar>
              <w:top w:w="105" w:type="dxa"/>
              <w:start w:w="125" w:type="dxa"/>
              <w:bottom w:w="105" w:type="dxa"/>
              <w:end w:w="125" w:type="dxa"/>
            </w:tcMar>
            <w:vAlign w:val="top"/>
          </w:tcPr>
          <w:p>
            <w:pPr>
              <w:spacing w:before="0" w:after="80" w:line="240" w:lineRule="auto"/>
            </w:pPr>
            <w:r>
              <w:rPr>
                <w:rFonts w:ascii="Arial" w:hAnsi="Arial" w:eastAsia="Arial" w:cs="Arial"/>
                <w:b/>
                <w:color w:val="173326"/>
                <w:sz w:val="21"/>
              </w:rPr>
              <w:t>1. Когда нужна ручная проверка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система показывает жёлтое или красное уведомление;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уведомления нет, хотя автомобиль находится на КПП;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госномер не распознан / распознан неверно;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пропуск недавно добавлен, но не находится;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есть признаки сбоя AutoGate, камеры или связи.</w:t>
            </w:r>
          </w:p>
          <w:p>
            <w:pPr>
              <w:spacing w:before="100" w:after="80" w:line="240" w:lineRule="auto"/>
            </w:pPr>
            <w:r>
              <w:rPr>
                <w:rFonts w:ascii="Arial" w:hAnsi="Arial" w:eastAsia="Arial" w:cs="Arial"/>
                <w:b/>
                <w:color w:val="173326"/>
                <w:sz w:val="21"/>
              </w:rPr>
              <w:t>2. Порядок действий охраны</w:t>
            </w:r>
          </w:p>
          <w:p>
            <w:pPr>
              <w:spacing w:after="40" w:line="240" w:lineRule="auto"/>
            </w:pPr>
            <w:r>
              <w:rPr>
                <w:rFonts w:ascii="Arial" w:hAnsi="Arial" w:eastAsia="Arial" w:cs="Arial"/>
                <w:b/>
                <w:color w:val="478060"/>
                <w:sz w:val="17"/>
              </w:rPr>
              <w:t xml:space="preserve">1. </w:t>
            </w: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Не ждите, пока водитель подойдёт к посту. Самостоятельно начните проверку.</w:t>
            </w:r>
          </w:p>
          <w:p>
            <w:pPr>
              <w:spacing w:after="40" w:line="240" w:lineRule="auto"/>
            </w:pPr>
            <w:r>
              <w:rPr>
                <w:rFonts w:ascii="Arial" w:hAnsi="Arial" w:eastAsia="Arial" w:cs="Arial"/>
                <w:b/>
                <w:color w:val="478060"/>
                <w:sz w:val="17"/>
              </w:rPr>
              <w:t xml:space="preserve">2. </w:t>
            </w: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Уточните госномер, участок / подразделение и наличие оформленного пропуска.</w:t>
            </w:r>
          </w:p>
          <w:p>
            <w:pPr>
              <w:spacing w:after="40" w:line="240" w:lineRule="auto"/>
            </w:pPr>
            <w:r>
              <w:rPr>
                <w:rFonts w:ascii="Arial" w:hAnsi="Arial" w:eastAsia="Arial" w:cs="Arial"/>
                <w:b/>
                <w:color w:val="478060"/>
                <w:sz w:val="17"/>
              </w:rPr>
              <w:t xml:space="preserve">3. </w:t>
            </w: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Найдите пропуск в AutoGate вручную и сверьте номер, срок действия и объект назначения.</w:t>
            </w:r>
          </w:p>
          <w:p>
            <w:pPr>
              <w:spacing w:after="40" w:line="240" w:lineRule="auto"/>
            </w:pPr>
            <w:r>
              <w:rPr>
                <w:rFonts w:ascii="Arial" w:hAnsi="Arial" w:eastAsia="Arial" w:cs="Arial"/>
                <w:b/>
                <w:color w:val="478060"/>
                <w:sz w:val="17"/>
              </w:rPr>
              <w:t xml:space="preserve">4. </w:t>
            </w: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Если пропуск действующий — оформите въезд / событие в пределах прав охраны и регламента объекта.</w:t>
            </w:r>
          </w:p>
          <w:p>
            <w:pPr>
              <w:spacing w:after="40" w:line="240" w:lineRule="auto"/>
            </w:pPr>
            <w:r>
              <w:rPr>
                <w:rFonts w:ascii="Arial" w:hAnsi="Arial" w:eastAsia="Arial" w:cs="Arial"/>
                <w:b/>
                <w:color w:val="478060"/>
                <w:sz w:val="17"/>
              </w:rPr>
              <w:t xml:space="preserve">5. </w:t>
            </w: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Если пропуска нет — попросите оформить его установленным на объекте способом. Решение о ручном допуске принимайте только по внутреннему регламенту.</w:t>
            </w:r>
          </w:p>
        </w:tc>
        <w:tc>
          <w:tcPr>
            <w:tcW w:type="dxa" w:w="5440"/>
            <w:tcBorders>
              <w:top w:val="single" w:sz="5" w:color="DDE7E0"/>
              <w:left w:val="single" w:sz="5" w:color="DDE7E0"/>
              <w:bottom w:val="single" w:sz="5" w:color="DDE7E0"/>
              <w:right w:val="single" w:sz="5" w:color="DDE7E0"/>
              <w:insideH w:val="single" w:sz="5" w:color="DDE7E0"/>
              <w:insideV w:val="single" w:sz="5" w:color="DDE7E0"/>
            </w:tcBorders>
            <w:tcMar>
              <w:top w:w="105" w:type="dxa"/>
              <w:start w:w="125" w:type="dxa"/>
              <w:bottom w:w="105" w:type="dxa"/>
              <w:end w:w="125" w:type="dxa"/>
            </w:tcMar>
            <w:vAlign w:val="top"/>
          </w:tcPr>
          <w:p>
            <w:pPr>
              <w:spacing w:before="0" w:after="80" w:line="240" w:lineRule="auto"/>
            </w:pPr>
            <w:r>
              <w:rPr>
                <w:rFonts w:ascii="Arial" w:hAnsi="Arial" w:eastAsia="Arial" w:cs="Arial"/>
                <w:b/>
                <w:color w:val="173326"/>
                <w:sz w:val="21"/>
              </w:rPr>
              <w:t>3. Если система не видит пропуск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повторно проверьте госномер без пробелов и с учётом региона;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проверьте поиск по участку / пользователю, если это доступно роли охраны;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уточните, действительно ли пропуск уже сохранён и действует на текущую дату;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если данные корректны, но AutoGate не реагирует — действуйте по резервному регламенту и сообщите ответственному.</w:t>
            </w:r>
          </w:p>
          <w:p>
            <w:pPr>
              <w:spacing w:before="100" w:after="80" w:line="240" w:lineRule="auto"/>
            </w:pPr>
            <w:r>
              <w:rPr>
                <w:rFonts w:ascii="Arial" w:hAnsi="Arial" w:eastAsia="Arial" w:cs="Arial"/>
                <w:b/>
                <w:color w:val="173326"/>
                <w:sz w:val="21"/>
              </w:rPr>
              <w:t>4. Если образовалась очередь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попросите автомобили, по которым идёт длительная проверка, освободить полосу проезда, если это безопасно;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проверяйте пропуска по очереди и не задерживайте автомобили, у которых доступ подтверждён;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при массовом сбое сразу переходите на резервный порядок, установленный объектом.</w:t>
            </w:r>
          </w:p>
          <w:p>
            <w:pPr>
              <w:spacing w:before="100" w:after="80" w:line="240" w:lineRule="auto"/>
            </w:pPr>
            <w:r>
              <w:rPr>
                <w:rFonts w:ascii="Arial" w:hAnsi="Arial" w:eastAsia="Arial" w:cs="Arial"/>
                <w:b/>
                <w:color w:val="173326"/>
                <w:sz w:val="21"/>
              </w:rPr>
              <w:t>5. Важно помнить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главная задача КПП — безопасно контролировать доступ и не создавать лишний затор;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не предоставляйте доступ только на основании устного объяснения, если это запрещено регламентом;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спорные ситуации передавайте ответственному лицу объекта;</w:t>
            </w:r>
          </w:p>
          <w:p>
            <w:pPr>
              <w:spacing w:before="0" w:after="30" w:line="240" w:lineRule="auto"/>
              <w:ind w:left="198" w:hanging="142"/>
            </w:pPr>
            <w:r>
              <w:rPr>
                <w:rFonts w:ascii="Arial" w:hAnsi="Arial" w:eastAsia="Arial" w:cs="Arial"/>
                <w:b w:val="0"/>
                <w:color w:val="405047"/>
                <w:sz w:val="17"/>
              </w:rPr>
              <w:t>• ручные действия фиксируйте в AutoGate, если такая функция доступна вашей роли.</w:t>
            </w:r>
          </w:p>
        </w:tc>
      </w:tr>
    </w:tbl>
    <w:p>
      <w:pPr>
        <w:spacing w:before="140"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5102"/>
      </w:tblGrid>
      <w:tr>
        <w:tc>
          <w:tcPr>
            <w:tcW w:type="dxa" w:w="5440"/>
            <w:tcBorders>
              <w:top w:val="single" w:sz="5" w:color="CFE0D5"/>
              <w:left w:val="single" w:sz="5" w:color="CFE0D5"/>
              <w:bottom w:val="single" w:sz="5" w:color="CFE0D5"/>
              <w:right w:val="single" w:sz="5" w:color="CFE0D5"/>
              <w:insideH w:val="single" w:sz="5" w:color="CFE0D5"/>
              <w:insideV w:val="single" w:sz="5" w:color="CFE0D5"/>
            </w:tcBorders>
            <w:tcMar>
              <w:top w:w="80" w:type="dxa"/>
              <w:start w:w="100" w:type="dxa"/>
              <w:bottom w:w="80" w:type="dxa"/>
              <w:end w:w="100" w:type="dxa"/>
            </w:tcMar>
            <w:shd w:fill="F0F6F2"/>
          </w:tcPr>
          <w:p>
            <w:pPr>
              <w:spacing w:before="0" w:after="40" w:line="240" w:lineRule="auto"/>
            </w:pPr>
            <w:r>
              <w:rPr>
                <w:rFonts w:ascii="Arial" w:hAnsi="Arial" w:eastAsia="Arial" w:cs="Arial"/>
                <w:b/>
                <w:color w:val="315F45"/>
                <w:sz w:val="17"/>
              </w:rPr>
              <w:t>Ответственный: __________________________________</w:t>
            </w:r>
          </w:p>
        </w:tc>
        <w:tc>
          <w:tcPr>
            <w:tcW w:type="dxa" w:w="5440"/>
            <w:tcBorders>
              <w:top w:val="single" w:sz="5" w:color="CFE0D5"/>
              <w:left w:val="single" w:sz="5" w:color="CFE0D5"/>
              <w:bottom w:val="single" w:sz="5" w:color="CFE0D5"/>
              <w:right w:val="single" w:sz="5" w:color="CFE0D5"/>
              <w:insideH w:val="single" w:sz="5" w:color="CFE0D5"/>
              <w:insideV w:val="single" w:sz="5" w:color="CFE0D5"/>
            </w:tcBorders>
            <w:tcMar>
              <w:top w:w="80" w:type="dxa"/>
              <w:start w:w="100" w:type="dxa"/>
              <w:bottom w:w="80" w:type="dxa"/>
              <w:end w:w="100" w:type="dxa"/>
            </w:tcMar>
            <w:shd w:fill="F0F6F2"/>
          </w:tcPr>
          <w:p>
            <w:pPr>
              <w:spacing w:before="0" w:after="40" w:line="240" w:lineRule="auto"/>
            </w:pPr>
            <w:r>
              <w:rPr>
                <w:rFonts w:ascii="Arial" w:hAnsi="Arial" w:eastAsia="Arial" w:cs="Arial"/>
                <w:b/>
                <w:color w:val="315F45"/>
                <w:sz w:val="17"/>
              </w:rPr>
              <w:t>Телефон: __________________________________</w:t>
            </w:r>
          </w:p>
        </w:tc>
      </w:tr>
      <w:tr>
        <w:tc>
          <w:tcPr>
            <w:tcW w:type="dxa" w:w="5440"/>
            <w:tcBorders>
              <w:top w:val="single" w:sz="5" w:color="CFE0D5"/>
              <w:left w:val="single" w:sz="5" w:color="CFE0D5"/>
              <w:bottom w:val="single" w:sz="5" w:color="CFE0D5"/>
              <w:right w:val="single" w:sz="5" w:color="CFE0D5"/>
              <w:insideH w:val="single" w:sz="5" w:color="CFE0D5"/>
              <w:insideV w:val="single" w:sz="5" w:color="CFE0D5"/>
            </w:tcBorders>
            <w:tcMar>
              <w:top w:w="80" w:type="dxa"/>
              <w:start w:w="100" w:type="dxa"/>
              <w:bottom w:w="80" w:type="dxa"/>
              <w:end w:w="100" w:type="dxa"/>
            </w:tcMar>
            <w:shd w:fill="F0F6F2"/>
          </w:tcPr>
          <w:p>
            <w:pPr>
              <w:spacing w:before="0" w:after="40" w:line="240" w:lineRule="auto"/>
            </w:pPr>
            <w:r>
              <w:rPr>
                <w:rFonts w:ascii="Arial" w:hAnsi="Arial" w:eastAsia="Arial" w:cs="Arial"/>
                <w:b w:val="0"/>
                <w:color w:val="315F45"/>
                <w:sz w:val="17"/>
              </w:rPr>
              <w:t>Резервный порядок / примечание: __________________</w:t>
            </w:r>
          </w:p>
        </w:tc>
        <w:tc>
          <w:tcPr>
            <w:tcW w:type="dxa" w:w="5440"/>
            <w:tcBorders>
              <w:top w:val="single" w:sz="5" w:color="CFE0D5"/>
              <w:left w:val="single" w:sz="5" w:color="CFE0D5"/>
              <w:bottom w:val="single" w:sz="5" w:color="CFE0D5"/>
              <w:right w:val="single" w:sz="5" w:color="CFE0D5"/>
              <w:insideH w:val="single" w:sz="5" w:color="CFE0D5"/>
              <w:insideV w:val="single" w:sz="5" w:color="CFE0D5"/>
            </w:tcBorders>
            <w:tcMar>
              <w:top w:w="80" w:type="dxa"/>
              <w:start w:w="100" w:type="dxa"/>
              <w:bottom w:w="80" w:type="dxa"/>
              <w:end w:w="100" w:type="dxa"/>
            </w:tcMar>
            <w:shd w:fill="F0F6F2"/>
          </w:tcPr>
          <w:p>
            <w:pPr>
              <w:spacing w:before="0" w:after="40" w:line="240" w:lineRule="auto"/>
            </w:pPr>
            <w:r>
              <w:rPr>
                <w:rFonts w:ascii="Arial" w:hAnsi="Arial" w:eastAsia="Arial" w:cs="Arial"/>
                <w:b w:val="0"/>
                <w:color w:val="315F45"/>
                <w:sz w:val="17"/>
              </w:rPr>
              <w:t>____________________________________________</w:t>
            </w:r>
          </w:p>
        </w:tc>
      </w:tr>
    </w:tbl>
    <w:p>
      <w:pPr>
        <w:spacing w:before="100" w:after="0"/>
        <w:jc w:val="center"/>
      </w:pPr>
      <w:r>
        <w:rPr>
          <w:rFonts w:ascii="Arial" w:hAnsi="Arial" w:eastAsia="Arial" w:cs="Arial"/>
          <w:b w:val="0"/>
          <w:color w:val="7A877F"/>
          <w:sz w:val="14"/>
        </w:rPr>
        <w:t>Шаблон памятки АвтоГейт · ag-kpp.ru · Перед выдачей охране адаптируйте документ под правила конкретного объекта.</w:t>
      </w:r>
    </w:p>
    <w:sectPr w:rsidR="00FC693F" w:rsidRPr="0006063C" w:rsidSect="00034616">
      <w:pgSz w:w="12240" w:h="15840"/>
      <w:pgMar w:top="652" w:right="680" w:bottom="595" w:left="680" w:header="227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